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object w:dxaOrig="2044" w:dyaOrig="2044">
          <v:rect xmlns:o="urn:schemas-microsoft-com:office:office" xmlns:v="urn:schemas-microsoft-com:vml" id="rectole0000000000" style="width:102.200000pt;height:102.20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16.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годишњи стручно-научни скуп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Заједнице матичних библиотека Србије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4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40"/>
          <w:shd w:fill="auto" w:val="clear"/>
        </w:rPr>
        <w:t xml:space="preserve">Библиотеке и доживотно учење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Градска библиотека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Владислав Петковић Дис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Синђелићева 24, Чачак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8–10.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септембар 2022.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FF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ПРОГРАМ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tbl>
      <w:tblPr/>
      <w:tblGrid>
        <w:gridCol w:w="2790"/>
        <w:gridCol w:w="7650"/>
      </w:tblGrid>
      <w:tr>
        <w:trPr>
          <w:trHeight w:val="1" w:hRule="atLeast"/>
          <w:jc w:val="left"/>
        </w:trPr>
        <w:tc>
          <w:tcPr>
            <w:tcW w:w="27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Четвртак, 8. септембар</w:t>
            </w:r>
          </w:p>
        </w:tc>
        <w:tc>
          <w:tcPr>
            <w:tcW w:w="76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Градска библиотека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Владислав Петковић Дис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(Велика сала)</w:t>
            </w:r>
          </w:p>
        </w:tc>
      </w:tr>
      <w:tr>
        <w:trPr>
          <w:trHeight w:val="215" w:hRule="auto"/>
          <w:jc w:val="left"/>
        </w:trPr>
        <w:tc>
          <w:tcPr>
            <w:tcW w:w="27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12.00–13.00 </w:t>
            </w:r>
          </w:p>
        </w:tc>
        <w:tc>
          <w:tcPr>
            <w:tcW w:w="76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Регистрација учесника</w:t>
            </w:r>
          </w:p>
        </w:tc>
      </w:tr>
      <w:tr>
        <w:trPr>
          <w:trHeight w:val="215" w:hRule="auto"/>
          <w:jc w:val="left"/>
        </w:trPr>
        <w:tc>
          <w:tcPr>
            <w:tcW w:w="2790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13.00–14.00 </w:t>
            </w:r>
          </w:p>
        </w:tc>
        <w:tc>
          <w:tcPr>
            <w:tcW w:w="76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Свечано отварање Библионета 2022</w:t>
            </w:r>
          </w:p>
        </w:tc>
      </w:tr>
      <w:tr>
        <w:trPr>
          <w:trHeight w:val="215" w:hRule="auto"/>
          <w:jc w:val="left"/>
        </w:trPr>
        <w:tc>
          <w:tcPr>
            <w:tcW w:w="2790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6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Поздравне речи представника Министарства културе и информисања РС, Града Чачка, Заједнице матичних библиотека Србије и 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домаћина скупа</w:t>
            </w:r>
          </w:p>
        </w:tc>
      </w:tr>
      <w:tr>
        <w:trPr>
          <w:trHeight w:val="215" w:hRule="auto"/>
          <w:jc w:val="left"/>
        </w:trPr>
        <w:tc>
          <w:tcPr>
            <w:tcW w:w="2790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6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Додела Награде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Ђура Даничић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за 2021. годину и обраћање лауреата</w:t>
            </w:r>
          </w:p>
        </w:tc>
      </w:tr>
      <w:tr>
        <w:trPr>
          <w:trHeight w:val="215" w:hRule="auto"/>
          <w:jc w:val="left"/>
        </w:trPr>
        <w:tc>
          <w:tcPr>
            <w:tcW w:w="27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eeece1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14.00–15.00</w:t>
            </w:r>
          </w:p>
        </w:tc>
        <w:tc>
          <w:tcPr>
            <w:tcW w:w="76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eeece1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Коктел – Двориште Библиотеке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tbl>
      <w:tblPr/>
      <w:tblGrid>
        <w:gridCol w:w="2790"/>
        <w:gridCol w:w="7650"/>
      </w:tblGrid>
      <w:tr>
        <w:trPr>
          <w:trHeight w:val="1" w:hRule="atLeast"/>
          <w:jc w:val="left"/>
        </w:trPr>
        <w:tc>
          <w:tcPr>
            <w:tcW w:w="27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eeece1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6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eeece1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Предавања (Велика сала Библиотеке)</w:t>
            </w:r>
          </w:p>
        </w:tc>
      </w:tr>
      <w:tr>
        <w:trPr>
          <w:trHeight w:val="1" w:hRule="atLeast"/>
          <w:jc w:val="left"/>
        </w:trPr>
        <w:tc>
          <w:tcPr>
            <w:tcW w:w="27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15.00–15.30</w:t>
            </w:r>
          </w:p>
        </w:tc>
        <w:tc>
          <w:tcPr>
            <w:tcW w:w="76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Предавање госта </w:t>
            </w:r>
          </w:p>
        </w:tc>
      </w:tr>
      <w:tr>
        <w:trPr>
          <w:trHeight w:val="1" w:hRule="atLeast"/>
          <w:jc w:val="left"/>
        </w:trPr>
        <w:tc>
          <w:tcPr>
            <w:tcW w:w="27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15.30–16.00</w:t>
            </w:r>
          </w:p>
        </w:tc>
        <w:tc>
          <w:tcPr>
            <w:tcW w:w="76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Добрила Бегенишић (Народна библиотека Србије)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Едукација библиотекара у Србији: законски оквир и пракса</w:t>
            </w:r>
          </w:p>
        </w:tc>
      </w:tr>
      <w:tr>
        <w:trPr>
          <w:trHeight w:val="1" w:hRule="atLeast"/>
          <w:jc w:val="left"/>
        </w:trPr>
        <w:tc>
          <w:tcPr>
            <w:tcW w:w="27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16.00–16.30</w:t>
            </w:r>
          </w:p>
        </w:tc>
        <w:tc>
          <w:tcPr>
            <w:tcW w:w="76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Драган Николић (EBSCO)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EBSCO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едукативни алати, платформе и сервиси корисни за академску заједницу</w:t>
            </w:r>
          </w:p>
        </w:tc>
      </w:tr>
      <w:tr>
        <w:trPr>
          <w:trHeight w:val="1" w:hRule="atLeast"/>
          <w:jc w:val="left"/>
        </w:trPr>
        <w:tc>
          <w:tcPr>
            <w:tcW w:w="27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16.30–17.00</w:t>
            </w:r>
          </w:p>
        </w:tc>
        <w:tc>
          <w:tcPr>
            <w:tcW w:w="76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Богдан Трифуновић, Марија Радуловић (Градска библиотека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Владислав Петковић Дис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)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Да ли elevator pitch може да постане прича из лифта ваше библиотеке? Едукација библиотекара у контексту иновативних знања</w:t>
            </w:r>
          </w:p>
        </w:tc>
      </w:tr>
    </w:tbl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tbl>
      <w:tblPr/>
      <w:tblGrid>
        <w:gridCol w:w="2790"/>
        <w:gridCol w:w="7650"/>
      </w:tblGrid>
      <w:tr>
        <w:trPr>
          <w:trHeight w:val="1" w:hRule="atLeast"/>
          <w:jc w:val="left"/>
        </w:trPr>
        <w:tc>
          <w:tcPr>
            <w:tcW w:w="27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17.00–19.00</w:t>
            </w:r>
          </w:p>
        </w:tc>
        <w:tc>
          <w:tcPr>
            <w:tcW w:w="76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Стручни обилазак Градске библиотеке Чачак, слободно време</w:t>
            </w:r>
          </w:p>
        </w:tc>
      </w:tr>
      <w:tr>
        <w:trPr>
          <w:trHeight w:val="1" w:hRule="atLeast"/>
          <w:jc w:val="left"/>
        </w:trPr>
        <w:tc>
          <w:tcPr>
            <w:tcW w:w="27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eeece1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20.00 </w:t>
            </w:r>
          </w:p>
        </w:tc>
        <w:tc>
          <w:tcPr>
            <w:tcW w:w="76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eeece1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Вечера у ресторану – Хотел „Београдˮ, Градско шеталиште</w:t>
            </w:r>
          </w:p>
        </w:tc>
      </w:tr>
    </w:tbl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tbl>
      <w:tblPr/>
      <w:tblGrid>
        <w:gridCol w:w="2790"/>
        <w:gridCol w:w="7650"/>
      </w:tblGrid>
      <w:tr>
        <w:trPr>
          <w:trHeight w:val="1" w:hRule="atLeast"/>
          <w:jc w:val="left"/>
        </w:trPr>
        <w:tc>
          <w:tcPr>
            <w:tcW w:w="27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Петак, 9. септембар</w:t>
            </w:r>
          </w:p>
        </w:tc>
        <w:tc>
          <w:tcPr>
            <w:tcW w:w="76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Градска библиотека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Владислав Петковић Дис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(Велика сала)</w:t>
            </w:r>
          </w:p>
        </w:tc>
      </w:tr>
      <w:tr>
        <w:trPr>
          <w:trHeight w:val="215" w:hRule="auto"/>
          <w:jc w:val="left"/>
        </w:trPr>
        <w:tc>
          <w:tcPr>
            <w:tcW w:w="1044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Прва радна сесија</w:t>
            </w:r>
          </w:p>
        </w:tc>
      </w:tr>
      <w:tr>
        <w:trPr>
          <w:trHeight w:val="215" w:hRule="auto"/>
          <w:jc w:val="left"/>
        </w:trPr>
        <w:tc>
          <w:tcPr>
            <w:tcW w:w="27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10.00–10.20</w:t>
            </w:r>
          </w:p>
        </w:tc>
        <w:tc>
          <w:tcPr>
            <w:tcW w:w="76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Милица Буха, Александра Маринко, Андријана Јеловац (Библиотека града Београда)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Сребрни сурфери: пројекти Библиотеке града Београда у области дигиталне писмености старијих лица</w:t>
            </w:r>
          </w:p>
        </w:tc>
      </w:tr>
      <w:tr>
        <w:trPr>
          <w:trHeight w:val="215" w:hRule="auto"/>
          <w:jc w:val="left"/>
        </w:trPr>
        <w:tc>
          <w:tcPr>
            <w:tcW w:w="27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10.20–10.40</w:t>
            </w:r>
          </w:p>
        </w:tc>
        <w:tc>
          <w:tcPr>
            <w:tcW w:w="76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Борис Ђенадић, Татјана Тимотијевић, Катарина Перић (Народна библиотека Србије)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КоБСОН едукације – за кога и о чему?</w:t>
            </w:r>
          </w:p>
        </w:tc>
      </w:tr>
      <w:tr>
        <w:trPr>
          <w:trHeight w:val="215" w:hRule="auto"/>
          <w:jc w:val="left"/>
        </w:trPr>
        <w:tc>
          <w:tcPr>
            <w:tcW w:w="27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10.40–11.00</w:t>
            </w:r>
          </w:p>
        </w:tc>
        <w:tc>
          <w:tcPr>
            <w:tcW w:w="76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Исидора Ињац (Библиотека града Београда)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24"/>
                <w:shd w:fill="auto" w:val="clear"/>
              </w:rPr>
              <w:t xml:space="preserve">Европски пројекти Библиотеке града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 Београда посвећени доживотном учењу</w:t>
            </w:r>
          </w:p>
        </w:tc>
      </w:tr>
      <w:tr>
        <w:trPr>
          <w:trHeight w:val="215" w:hRule="auto"/>
          <w:jc w:val="left"/>
        </w:trPr>
        <w:tc>
          <w:tcPr>
            <w:tcW w:w="27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6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Дискусија</w:t>
            </w:r>
          </w:p>
        </w:tc>
      </w:tr>
      <w:tr>
        <w:trPr>
          <w:trHeight w:val="215" w:hRule="auto"/>
          <w:jc w:val="left"/>
        </w:trPr>
        <w:tc>
          <w:tcPr>
            <w:tcW w:w="27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e7e6e6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11.30–12.00</w:t>
            </w:r>
          </w:p>
        </w:tc>
        <w:tc>
          <w:tcPr>
            <w:tcW w:w="76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e7e6e6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Пауза за кафу</w:t>
            </w:r>
          </w:p>
        </w:tc>
      </w:tr>
      <w:tr>
        <w:trPr>
          <w:trHeight w:val="215" w:hRule="auto"/>
          <w:jc w:val="left"/>
        </w:trPr>
        <w:tc>
          <w:tcPr>
            <w:tcW w:w="1044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Друга радна сесија</w:t>
            </w:r>
          </w:p>
        </w:tc>
      </w:tr>
      <w:tr>
        <w:trPr>
          <w:trHeight w:val="1" w:hRule="atLeast"/>
          <w:jc w:val="left"/>
        </w:trPr>
        <w:tc>
          <w:tcPr>
            <w:tcW w:w="27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12.00–12.20</w:t>
            </w:r>
          </w:p>
        </w:tc>
        <w:tc>
          <w:tcPr>
            <w:tcW w:w="76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Наташа Папић (Библиотека Дома културе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Студентски град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)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Едукација корисника у библиотеци Дома културе Студентски град</w:t>
            </w:r>
          </w:p>
        </w:tc>
      </w:tr>
      <w:tr>
        <w:trPr>
          <w:trHeight w:val="1" w:hRule="atLeast"/>
          <w:jc w:val="left"/>
        </w:trPr>
        <w:tc>
          <w:tcPr>
            <w:tcW w:w="27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12.20–12.40</w:t>
            </w:r>
          </w:p>
        </w:tc>
        <w:tc>
          <w:tcPr>
            <w:tcW w:w="76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Сања Антонић, Дејана Каваја Станишић, Александра Поповић (Универзитетска библиотека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Светозар Марковић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)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Изазови развоја образовних активности Универзитетске библиотеке Светозар Марковић у Београду</w:t>
            </w:r>
          </w:p>
        </w:tc>
      </w:tr>
      <w:tr>
        <w:trPr>
          <w:trHeight w:val="1" w:hRule="atLeast"/>
          <w:jc w:val="left"/>
        </w:trPr>
        <w:tc>
          <w:tcPr>
            <w:tcW w:w="27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12.40-13.00</w:t>
            </w:r>
          </w:p>
        </w:tc>
        <w:tc>
          <w:tcPr>
            <w:tcW w:w="76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Кристина Алексић, Сања Марковић (Библиотека шабачка)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Библиотеке и доживотно учење: библиотеке као школе без звона за крај</w:t>
            </w:r>
          </w:p>
        </w:tc>
      </w:tr>
      <w:tr>
        <w:trPr>
          <w:trHeight w:val="1" w:hRule="atLeast"/>
          <w:jc w:val="left"/>
        </w:trPr>
        <w:tc>
          <w:tcPr>
            <w:tcW w:w="27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13.00–13.20</w:t>
            </w:r>
          </w:p>
        </w:tc>
        <w:tc>
          <w:tcPr>
            <w:tcW w:w="76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Мирко Марковић (Интернет клуб)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Класично, актуелно, иновативно, компетентно у сталном стручном усавршавању библиотекa</w:t>
            </w:r>
          </w:p>
        </w:tc>
      </w:tr>
      <w:tr>
        <w:trPr>
          <w:trHeight w:val="1" w:hRule="atLeast"/>
          <w:jc w:val="left"/>
        </w:trPr>
        <w:tc>
          <w:tcPr>
            <w:tcW w:w="27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13.20-13.45</w:t>
            </w:r>
          </w:p>
        </w:tc>
        <w:tc>
          <w:tcPr>
            <w:tcW w:w="76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Дискусија и закључци</w:t>
            </w:r>
          </w:p>
        </w:tc>
      </w:tr>
    </w:tbl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tbl>
      <w:tblPr/>
      <w:tblGrid>
        <w:gridCol w:w="2790"/>
        <w:gridCol w:w="7650"/>
      </w:tblGrid>
      <w:tr>
        <w:trPr>
          <w:trHeight w:val="1" w:hRule="atLeast"/>
          <w:jc w:val="left"/>
        </w:trPr>
        <w:tc>
          <w:tcPr>
            <w:tcW w:w="27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13.45–14.45</w:t>
            </w:r>
          </w:p>
        </w:tc>
        <w:tc>
          <w:tcPr>
            <w:tcW w:w="76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Ручак – Двориште Библиотеке</w:t>
            </w:r>
          </w:p>
        </w:tc>
      </w:tr>
      <w:tr>
        <w:trPr>
          <w:trHeight w:val="1" w:hRule="atLeast"/>
          <w:jc w:val="left"/>
        </w:trPr>
        <w:tc>
          <w:tcPr>
            <w:tcW w:w="27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14.45–17.00</w:t>
            </w:r>
          </w:p>
        </w:tc>
        <w:tc>
          <w:tcPr>
            <w:tcW w:w="76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Организовани обилазак знаменитости Чачка са водичима, слободно време</w:t>
            </w:r>
          </w:p>
        </w:tc>
      </w:tr>
    </w:tbl>
    <w:p>
      <w:pPr>
        <w:spacing w:before="0" w:after="0" w:line="240"/>
        <w:ind w:right="0" w:left="0" w:firstLine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tbl>
      <w:tblPr/>
      <w:tblGrid>
        <w:gridCol w:w="2790"/>
        <w:gridCol w:w="7650"/>
      </w:tblGrid>
      <w:tr>
        <w:trPr>
          <w:trHeight w:val="1" w:hRule="atLeast"/>
          <w:jc w:val="left"/>
        </w:trPr>
        <w:tc>
          <w:tcPr>
            <w:tcW w:w="27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18.00–19.00</w:t>
            </w:r>
          </w:p>
        </w:tc>
        <w:tc>
          <w:tcPr>
            <w:tcW w:w="76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Двориште Библиотеке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Запетљавање са Дејаном Алексићем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: Представљање романа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Петља</w:t>
            </w:r>
          </w:p>
        </w:tc>
      </w:tr>
      <w:tr>
        <w:trPr>
          <w:trHeight w:val="1" w:hRule="atLeast"/>
          <w:jc w:val="left"/>
        </w:trPr>
        <w:tc>
          <w:tcPr>
            <w:tcW w:w="27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19.00</w:t>
            </w:r>
          </w:p>
        </w:tc>
        <w:tc>
          <w:tcPr>
            <w:tcW w:w="76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Вечера на отвореном уз музику и вино</w:t>
            </w:r>
          </w:p>
        </w:tc>
      </w:tr>
    </w:tbl>
    <w:p>
      <w:pPr>
        <w:spacing w:before="0" w:after="0" w:line="240"/>
        <w:ind w:right="0" w:left="0" w:firstLine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tbl>
      <w:tblPr/>
      <w:tblGrid>
        <w:gridCol w:w="2790"/>
        <w:gridCol w:w="7650"/>
      </w:tblGrid>
      <w:tr>
        <w:trPr>
          <w:trHeight w:val="1" w:hRule="atLeast"/>
          <w:jc w:val="left"/>
        </w:trPr>
        <w:tc>
          <w:tcPr>
            <w:tcW w:w="27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eeece1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Субота, 10. септембар</w:t>
            </w:r>
          </w:p>
        </w:tc>
        <w:tc>
          <w:tcPr>
            <w:tcW w:w="76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eeece1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Организовани излет</w:t>
            </w:r>
          </w:p>
        </w:tc>
      </w:tr>
      <w:tr>
        <w:trPr>
          <w:trHeight w:val="1" w:hRule="atLeast"/>
          <w:jc w:val="left"/>
        </w:trPr>
        <w:tc>
          <w:tcPr>
            <w:tcW w:w="27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9.00–12.00</w:t>
            </w:r>
          </w:p>
        </w:tc>
        <w:tc>
          <w:tcPr>
            <w:tcW w:w="76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Излет у Овчарско-кабларску клисуру (предео изузетних одлика 1. категорије), обилазак Овчар Бање, манастира Никоље и конака кнеза Милоша Обреновића, крстарење језером Међувршје</w:t>
            </w:r>
          </w:p>
        </w:tc>
      </w:tr>
      <w:tr>
        <w:trPr>
          <w:trHeight w:val="1" w:hRule="atLeast"/>
          <w:jc w:val="left"/>
        </w:trPr>
        <w:tc>
          <w:tcPr>
            <w:tcW w:w="27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12.00–13.00</w:t>
            </w:r>
          </w:p>
        </w:tc>
        <w:tc>
          <w:tcPr>
            <w:tcW w:w="76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Освежење у ресторану </w:t>
            </w: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24"/>
                <w:shd w:fill="auto" w:val="clear"/>
              </w:rPr>
              <w:t xml:space="preserve">Дом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(у личној режији)</w:t>
            </w:r>
          </w:p>
        </w:tc>
      </w:tr>
    </w:tbl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embeddings/oleObject0.bin" Id="docRId0" Type="http://schemas.openxmlformats.org/officeDocument/2006/relationships/oleObject"/><Relationship Target="media/image0.wmf" Id="docRId1" Type="http://schemas.openxmlformats.org/officeDocument/2006/relationships/image"/><Relationship Target="numbering.xml" Id="docRId2" Type="http://schemas.openxmlformats.org/officeDocument/2006/relationships/numbering"/><Relationship Target="styles.xml" Id="docRId3" Type="http://schemas.openxmlformats.org/officeDocument/2006/relationships/styles"/></Relationships>
</file>