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Народна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библиотека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Србије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Подносилац захтева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организатор догађаја</w:t>
      </w:r>
      <w:r>
        <w:rPr>
          <w:rFonts w:ascii="Times New Roman" w:hAnsi="Times New Roman"/>
          <w:sz w:val="24"/>
          <w:szCs w:val="24"/>
          <w:rtl w:val="0"/>
        </w:rPr>
        <w:t xml:space="preserve"> 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Име и презиме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одговорног лица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Контакт  </w:t>
      </w:r>
      <w:r>
        <w:rPr>
          <w:rFonts w:ascii="Times New Roman" w:hAnsi="Times New Roman"/>
          <w:sz w:val="24"/>
          <w:szCs w:val="24"/>
          <w:rtl w:val="0"/>
        </w:rPr>
        <w:t xml:space="preserve">| 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  <w:lang w:val="ru-RU"/>
        </w:rPr>
        <w:t xml:space="preserve">Датум </w:t>
      </w:r>
      <w:r>
        <w:rPr>
          <w:rFonts w:ascii="Times New Roman" w:hAnsi="Times New Roman"/>
          <w:rtl w:val="0"/>
        </w:rPr>
        <w:t>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Захтев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коришћење ресурса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НБС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line="360" w:lineRule="auto"/>
        <w:ind w:left="9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потребе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навести назив и врсту догађаја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стручни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научни скуп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трибина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конференција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разговор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округли сто и др</w:t>
      </w:r>
      <w:r>
        <w:rPr>
          <w:rFonts w:ascii="Times New Roman" w:hAnsi="Times New Roman"/>
          <w:sz w:val="24"/>
          <w:szCs w:val="24"/>
          <w:rtl w:val="0"/>
        </w:rPr>
        <w:t>.)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дана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навести тачан датум догађаја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молимо НБС да  </w:t>
      </w:r>
      <w:r>
        <w:rPr>
          <w:rFonts w:ascii="Times New Roman" w:hAnsi="Times New Roman"/>
          <w:sz w:val="24"/>
          <w:szCs w:val="24"/>
          <w:rtl w:val="0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навести назив организатора догађаја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уступи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коришћење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[</w:t>
      </w:r>
      <w:r>
        <w:rPr>
          <w:rFonts w:ascii="Times New Roman" w:hAnsi="Times New Roman" w:hint="default"/>
          <w:sz w:val="24"/>
          <w:szCs w:val="24"/>
          <w:rtl w:val="0"/>
        </w:rPr>
        <w:t>навести простор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опрему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Народне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библиотеке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Србије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трајању од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</w:rPr>
        <w:t>навести тачно време почетка и завршетка догађаја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360" w:lineRule="auto"/>
        <w:ind w:left="9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Очекивани број учесника је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 .</w:t>
      </w: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Од остале опреме и услуга Народне библиотеке Србије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услуге бифеа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услуге опреме и аудио снимања програма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појачане мере безбедности и др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 је обезбедити 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8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 |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left" w:pos="5730"/>
        </w:tabs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потпис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990" w:right="990" w:bottom="45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